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O delito de extorsão encontra sua classificação no art. 158 do Código Penal. Contudo, mesmo sendo crime formal, é possível, na extorsão, a modalidade tentada, aplicando-se o disposto no art. 14, II, do mesmo diploma penal.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Mesmo minoritária, há corrente doutrinaria que reconhece o conteúdo material da extorsão, necessitando o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exaurimento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do crime, como atributo sua consumação para a obtenção de vantagem econômica pelo sujeito ativo.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E esta corrente agora é seguida pelo STJ. Em recentíssima jurisprudência, de agosto deste ano, entendeu a sexta turma do tribunal da cidadania a possibilidade concreta da tentativa no crime de extorsão, dispensando a coleta de proveito pecuniário para consolidar o delito, bastando o comportamento típico descrito no art. 158 do Código Penal para consumar o crime, principalmente quando, por ação de terceiros, ocorre um prejuízo no desenvolvimento do evento delitivo, como a presença de policiais. Logo, o crime de extorsão pode ser material também.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Jurisprudência Classificada</w:t>
      </w:r>
    </w:p>
    <w:p w:rsidR="00FE4D9E" w:rsidRDefault="00FE4D9E" w:rsidP="00FE4D9E">
      <w:pPr>
        <w:pStyle w:val="NormalWeb"/>
        <w:shd w:val="clear" w:color="auto" w:fill="FFFFFF"/>
        <w:spacing w:before="0" w:beforeAutospacing="0" w:after="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 “Trata-se de recurso interposto pelo MP estadual contra acórdão que manteve sentença condenatória, porém reformou-a parcialmente para reconhecer a forma tentada do delito de extorsão praticado pelo ora recorrido. O órgão ministerial sustenta que o acórdão violou o art. 158 do CP, pois o legislador não subordina a consumação do delito à efetiva consecução do proveito econômico, bastando que o agente tenha obrado com tal intuito. Na espécie, o recorrido constrangeu a vítima, mediante grave ameaça, consistente no prenúncio de que a mataria, exigindo-lhe a quantia de 300 reais, a retirada dos boletins de ocorrência contra ele registrados e a entrega dos filhos nos finais de semana. Diante da reiteração das ameaças, a vítima acionou a polícia, que surpreendeu o recorrido, procedendo a sua prisão. Sob tal contexto, a Turma entendeu que, in </w:t>
      </w:r>
      <w:proofErr w:type="spellStart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casu</w:t>
      </w:r>
      <w:proofErr w:type="spellEnd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, feita a exigência pelo recorrido, a vítima não se submeteu à sua vontade, deixando de realizar a conduta que ele procurava lhe impor. Assim, a hipótese é de tentativa como decidido pelo tribunal a </w:t>
      </w:r>
      <w:proofErr w:type="spellStart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quo</w:t>
      </w:r>
      <w:proofErr w:type="spellEnd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, e não, como pretende o recorrente, de crime consumado." (STJ, </w:t>
      </w:r>
      <w:proofErr w:type="spellStart"/>
      <w:proofErr w:type="gramStart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REsp</w:t>
      </w:r>
      <w:proofErr w:type="spellEnd"/>
      <w:proofErr w:type="gramEnd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 1.094.888-SP, Rel. Min. Sebastião Reis Júnior, Sexta Turma, julgado em 21.8.2012).</w:t>
      </w:r>
    </w:p>
    <w:p w:rsidR="00FE4D9E" w:rsidRDefault="00FE4D9E" w:rsidP="00FE4D9E">
      <w:pPr>
        <w:pStyle w:val="NormalWeb"/>
        <w:shd w:val="clear" w:color="auto" w:fill="FFFFFF"/>
        <w:spacing w:before="120" w:beforeAutospacing="0" w:after="12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</w:t>
      </w:r>
    </w:p>
    <w:p w:rsidR="00FE4D9E" w:rsidRDefault="00FE4D9E" w:rsidP="00FE4D9E">
      <w:pPr>
        <w:pStyle w:val="NormalWeb"/>
        <w:shd w:val="clear" w:color="auto" w:fill="FFFFFF"/>
        <w:spacing w:before="0" w:beforeAutospacing="0" w:after="0" w:afterAutospacing="0" w:line="383" w:lineRule="atLeast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Forte"/>
          <w:rFonts w:ascii="Arial" w:hAnsi="Arial" w:cs="Arial"/>
          <w:i/>
          <w:iCs/>
          <w:color w:val="000000"/>
          <w:sz w:val="17"/>
          <w:szCs w:val="17"/>
          <w:bdr w:val="none" w:sz="0" w:space="0" w:color="auto" w:frame="1"/>
        </w:rPr>
        <w:t xml:space="preserve">® Todos os direitos reservados. O conteúdo disponibilizado aos assinantes pertence à política de direitos autorais para uso único, individual e exclusivo, não havendo permissão para sua divulgação em qualquer outro meio de comunicação sem autorização da Revista da Defesa Social. Logo, é proibida a impressão ou transmissão por broadcast, </w:t>
      </w:r>
      <w:proofErr w:type="spellStart"/>
      <w:r>
        <w:rPr>
          <w:rStyle w:val="Forte"/>
          <w:rFonts w:ascii="Arial" w:hAnsi="Arial" w:cs="Arial"/>
          <w:i/>
          <w:iCs/>
          <w:color w:val="000000"/>
          <w:sz w:val="17"/>
          <w:szCs w:val="17"/>
          <w:bdr w:val="none" w:sz="0" w:space="0" w:color="auto" w:frame="1"/>
        </w:rPr>
        <w:t>reescrição</w:t>
      </w:r>
      <w:proofErr w:type="spellEnd"/>
      <w:r>
        <w:rPr>
          <w:rStyle w:val="Forte"/>
          <w:rFonts w:ascii="Arial" w:hAnsi="Arial" w:cs="Arial"/>
          <w:i/>
          <w:iCs/>
          <w:color w:val="000000"/>
          <w:sz w:val="17"/>
          <w:szCs w:val="17"/>
          <w:bdr w:val="none" w:sz="0" w:space="0" w:color="auto" w:frame="1"/>
        </w:rPr>
        <w:t xml:space="preserve"> ou redistribuição sem prévia autorização por qualquer meio, inclusive reenvio de material através de email. (Art. 184 do Código Penal, art. 29, I, da Lei Ordinária Federal 9.610/98, </w:t>
      </w:r>
      <w:proofErr w:type="spellStart"/>
      <w:r>
        <w:rPr>
          <w:rStyle w:val="Forte"/>
          <w:rFonts w:ascii="Arial" w:hAnsi="Arial" w:cs="Arial"/>
          <w:i/>
          <w:iCs/>
          <w:color w:val="000000"/>
          <w:sz w:val="17"/>
          <w:szCs w:val="17"/>
          <w:bdr w:val="none" w:sz="0" w:space="0" w:color="auto" w:frame="1"/>
        </w:rPr>
        <w:t>arts</w:t>
      </w:r>
      <w:proofErr w:type="spellEnd"/>
      <w:r>
        <w:rPr>
          <w:rStyle w:val="Forte"/>
          <w:rFonts w:ascii="Arial" w:hAnsi="Arial" w:cs="Arial"/>
          <w:i/>
          <w:iCs/>
          <w:color w:val="000000"/>
          <w:sz w:val="17"/>
          <w:szCs w:val="17"/>
          <w:bdr w:val="none" w:sz="0" w:space="0" w:color="auto" w:frame="1"/>
        </w:rPr>
        <w:t>. 183 a 195, da Lei 9.279/96).</w:t>
      </w:r>
    </w:p>
    <w:p w:rsidR="00FE4D9E" w:rsidRDefault="00FE4D9E" w:rsidP="00FE4D9E">
      <w:pPr>
        <w:rPr>
          <w:szCs w:val="21"/>
        </w:rPr>
      </w:pPr>
    </w:p>
    <w:p w:rsidR="001B7A92" w:rsidRPr="00073D41" w:rsidRDefault="001B7A92" w:rsidP="00073D41">
      <w:pPr>
        <w:rPr>
          <w:szCs w:val="21"/>
        </w:rPr>
      </w:pPr>
    </w:p>
    <w:sectPr w:rsidR="001B7A92" w:rsidRPr="00073D41" w:rsidSect="00136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>
    <w:useFELayout/>
  </w:compat>
  <w:rsids>
    <w:rsidRoot w:val="003D1A19"/>
    <w:rsid w:val="00073D41"/>
    <w:rsid w:val="00136502"/>
    <w:rsid w:val="00160618"/>
    <w:rsid w:val="00187928"/>
    <w:rsid w:val="001B7A92"/>
    <w:rsid w:val="002770BA"/>
    <w:rsid w:val="00391C7D"/>
    <w:rsid w:val="003D1A19"/>
    <w:rsid w:val="006B5E72"/>
    <w:rsid w:val="00825B86"/>
    <w:rsid w:val="009873AE"/>
    <w:rsid w:val="00A5575A"/>
    <w:rsid w:val="00AF38C0"/>
    <w:rsid w:val="00ED5D90"/>
    <w:rsid w:val="00F012E5"/>
    <w:rsid w:val="00FE4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50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1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6B5E72"/>
  </w:style>
  <w:style w:type="character" w:styleId="Forte">
    <w:name w:val="Strong"/>
    <w:basedOn w:val="Fontepargpadro"/>
    <w:uiPriority w:val="22"/>
    <w:qFormat/>
    <w:rsid w:val="006B5E7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E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606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9241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0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013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53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55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1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12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89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43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86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5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437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amdepol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amdepol_presidente</dc:creator>
  <cp:keywords/>
  <dc:description/>
  <cp:lastModifiedBy>amdepol_presidente</cp:lastModifiedBy>
  <cp:revision>13</cp:revision>
  <dcterms:created xsi:type="dcterms:W3CDTF">2013-12-03T20:09:00Z</dcterms:created>
  <dcterms:modified xsi:type="dcterms:W3CDTF">2013-12-31T18:44:00Z</dcterms:modified>
</cp:coreProperties>
</file>