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281" w:rsidRPr="00D50281" w:rsidRDefault="00D50281" w:rsidP="00D50281">
      <w:pPr>
        <w:shd w:val="clear" w:color="auto" w:fill="FFFFFF"/>
        <w:spacing w:after="0" w:line="420" w:lineRule="atLeast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35"/>
          <w:szCs w:val="35"/>
        </w:rPr>
      </w:pPr>
      <w:hyperlink r:id="rId5" w:history="1">
        <w:r w:rsidRPr="00D50281">
          <w:rPr>
            <w:rFonts w:ascii="Arial" w:eastAsia="Times New Roman" w:hAnsi="Arial" w:cs="Arial"/>
            <w:b/>
            <w:bCs/>
            <w:color w:val="A80000"/>
            <w:sz w:val="35"/>
          </w:rPr>
          <w:t>STJ edita Súmula 502 e consolida posição sobre crime de pirataria</w:t>
        </w:r>
      </w:hyperlink>
    </w:p>
    <w:p w:rsidR="00D50281" w:rsidRPr="00D50281" w:rsidRDefault="00D50281" w:rsidP="00D50281">
      <w:pPr>
        <w:numPr>
          <w:ilvl w:val="0"/>
          <w:numId w:val="1"/>
        </w:numPr>
        <w:spacing w:after="0" w:line="480" w:lineRule="auto"/>
        <w:ind w:left="12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noProof/>
          <w:color w:val="A80000"/>
          <w:sz w:val="21"/>
          <w:szCs w:val="21"/>
          <w:bdr w:val="none" w:sz="0" w:space="0" w:color="auto" w:frame="1"/>
        </w:rPr>
        <w:drawing>
          <wp:inline distT="0" distB="0" distL="0" distR="0">
            <wp:extent cx="152400" cy="142875"/>
            <wp:effectExtent l="19050" t="0" r="0" b="0"/>
            <wp:docPr id="1" name="Imagem 1" descr="Imprimir">
              <a:hlinkClick xmlns:a="http://schemas.openxmlformats.org/drawingml/2006/main" r:id="rId6" tooltip="&quot;Imprimi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primir">
                      <a:hlinkClick r:id="rId6" tooltip="&quot;Imprimi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281" w:rsidRPr="00D50281" w:rsidRDefault="00D50281" w:rsidP="00D50281">
      <w:pPr>
        <w:numPr>
          <w:ilvl w:val="0"/>
          <w:numId w:val="1"/>
        </w:numPr>
        <w:spacing w:after="0" w:line="480" w:lineRule="auto"/>
        <w:ind w:left="12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noProof/>
          <w:color w:val="A80000"/>
          <w:sz w:val="21"/>
          <w:szCs w:val="21"/>
          <w:bdr w:val="none" w:sz="0" w:space="0" w:color="auto" w:frame="1"/>
        </w:rPr>
        <w:drawing>
          <wp:inline distT="0" distB="0" distL="0" distR="0">
            <wp:extent cx="152400" cy="142875"/>
            <wp:effectExtent l="19050" t="0" r="0" b="0"/>
            <wp:docPr id="2" name="Imagem 2" descr="E-mail">
              <a:hlinkClick xmlns:a="http://schemas.openxmlformats.org/drawingml/2006/main" r:id="rId8" tooltip="&quot;E-mai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-mail">
                      <a:hlinkClick r:id="rId8" tooltip="&quot;E-mai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281" w:rsidRPr="00D50281" w:rsidRDefault="00D50281" w:rsidP="00D50281">
      <w:pPr>
        <w:spacing w:before="120" w:after="120" w:line="375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D50281">
        <w:rPr>
          <w:rFonts w:ascii="Arial" w:eastAsia="Times New Roman" w:hAnsi="Arial" w:cs="Arial"/>
          <w:color w:val="000000"/>
          <w:sz w:val="21"/>
          <w:szCs w:val="21"/>
        </w:rPr>
        <w:t>Apesar de comum entre a sociedade, a prática de vender CDs e DVDs piratas é crime e não se admite a aplicação do princípio da adequação social. O Superior Tribunal de Justiça, que já havia pacificado o entendimento sobre o assunto, editou a Súmula 502, que consolida a questão.</w:t>
      </w:r>
    </w:p>
    <w:p w:rsidR="00D50281" w:rsidRPr="00D50281" w:rsidRDefault="00D50281" w:rsidP="00D50281">
      <w:pPr>
        <w:spacing w:before="120" w:after="120" w:line="375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D50281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D50281" w:rsidRPr="00D50281" w:rsidRDefault="00D50281" w:rsidP="00D50281">
      <w:pPr>
        <w:spacing w:before="120" w:after="120" w:line="375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D50281">
        <w:rPr>
          <w:rFonts w:ascii="Arial" w:eastAsia="Times New Roman" w:hAnsi="Arial" w:cs="Arial"/>
          <w:color w:val="000000"/>
          <w:sz w:val="21"/>
          <w:szCs w:val="21"/>
        </w:rPr>
        <w:t>De acordo com o texto aprovado pela 3ª Seção do STJ, “presentes a materialidade e a autoria, afigura-se típica, em relação ao crime previsto no artigo 184, parágrafo 2º, do CP, a conduta de expor à venda CDs e DVDs piratas”. Assim, fica afastada a tese da adequação social, que afasta a tipicidade penal de condutas socialmente aceitas. O argumento foi utilizado em algumas sentenças, confirmadas em acórdãos de apelação, para absolver réus da acusação de violação de direitos autorais.</w:t>
      </w:r>
    </w:p>
    <w:p w:rsidR="00D50281" w:rsidRPr="00D50281" w:rsidRDefault="00D50281" w:rsidP="00D50281">
      <w:pPr>
        <w:spacing w:before="120" w:after="120" w:line="375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D50281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D50281" w:rsidRPr="00D50281" w:rsidRDefault="00D50281" w:rsidP="00D50281">
      <w:pPr>
        <w:spacing w:before="120" w:after="120" w:line="375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D50281">
        <w:rPr>
          <w:rFonts w:ascii="Arial" w:eastAsia="Times New Roman" w:hAnsi="Arial" w:cs="Arial"/>
          <w:color w:val="000000"/>
          <w:sz w:val="21"/>
          <w:szCs w:val="21"/>
        </w:rPr>
        <w:t>A 5ª e a 6ª Turmas do STJ estavam reformando estes acórdãos para afastar a adequação social e enquadrar o caso como violação de direito autoral. Um exemplo foi o Recurso Especial 1.193.196, que envolvia uma mulher acusada de expor para venda 170 DVDs e 172 CDs piratas. Com base na adequação social, ela foi absolvida em primeira instância e pelo Tribunal de Justiça de Minas Gerais.</w:t>
      </w:r>
    </w:p>
    <w:p w:rsidR="00D50281" w:rsidRPr="00D50281" w:rsidRDefault="00D50281" w:rsidP="00D50281">
      <w:pPr>
        <w:spacing w:before="120" w:after="120" w:line="375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D50281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D50281" w:rsidRPr="00D50281" w:rsidRDefault="00D50281" w:rsidP="00D50281">
      <w:pPr>
        <w:spacing w:before="120" w:after="120" w:line="375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D50281">
        <w:rPr>
          <w:rFonts w:ascii="Arial" w:eastAsia="Times New Roman" w:hAnsi="Arial" w:cs="Arial"/>
          <w:color w:val="000000"/>
          <w:sz w:val="21"/>
          <w:szCs w:val="21"/>
        </w:rPr>
        <w:t>A 6ª Turma do STJ, porém, acolheu Recurso Especial do Ministério Público de Minas Gerais. Relatora do caso, a ministra Maria Thereza de Assis Moura disse que a tolerância das autoridades com tal prática não significa que seja considerada típica a conduta ou que exista a exclusão da culpabilidade. O projeto da Súmula 502 partiu da própria ministra. Com informações da Assessoria de Imprensa do STJ.</w:t>
      </w:r>
    </w:p>
    <w:p w:rsidR="00D50281" w:rsidRPr="00D50281" w:rsidRDefault="00D50281" w:rsidP="00D50281">
      <w:pPr>
        <w:spacing w:before="120" w:after="120" w:line="375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D50281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931F3" w:rsidRDefault="00B931F3"/>
    <w:sectPr w:rsidR="00B931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A6AC3"/>
    <w:multiLevelType w:val="multilevel"/>
    <w:tmpl w:val="C7104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0281"/>
    <w:rsid w:val="00B931F3"/>
    <w:rsid w:val="00D50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D50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5028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Fontepargpadro"/>
    <w:uiPriority w:val="99"/>
    <w:semiHidden/>
    <w:unhideWhenUsed/>
    <w:rsid w:val="00D5028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50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0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2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7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9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legados.com.br/component/mailto/?tmpl=component&amp;template=gk_twn2&amp;link=54ba8fc03da33cbccee8c0988dda425c01d8c3f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legados.com.br/juridicos/4513-stj-edita-sumula-502-e-consolida-posicao-sobre-crime-de-pirataria.html?tmpl=component&amp;print=1&amp;layout=default&amp;page=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elegados.com.br/juridicos/4513-stj-edita-sumula-502-e-consolida-posicao-sobre-crime-de-pirataria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1484</Characters>
  <Application>Microsoft Office Word</Application>
  <DocSecurity>0</DocSecurity>
  <Lines>12</Lines>
  <Paragraphs>3</Paragraphs>
  <ScaleCrop>false</ScaleCrop>
  <Company>amdepol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amdepol_presidente</dc:creator>
  <cp:keywords/>
  <dc:description/>
  <cp:lastModifiedBy>amdepol_presidente</cp:lastModifiedBy>
  <cp:revision>2</cp:revision>
  <dcterms:created xsi:type="dcterms:W3CDTF">2013-11-12T21:11:00Z</dcterms:created>
  <dcterms:modified xsi:type="dcterms:W3CDTF">2013-11-12T21:11:00Z</dcterms:modified>
</cp:coreProperties>
</file>